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96"/>
        <w:gridCol w:w="4860"/>
      </w:tblGrid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 w:rsidP="005472FB">
            <w:r w:rsidRPr="005472FB">
              <w:t>Uvozovací text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 w:rsidP="005472FB">
            <w:r w:rsidRPr="005472FB">
              <w:t>Obsah položky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pPr>
              <w:rPr>
                <w:b/>
                <w:bCs/>
              </w:rPr>
            </w:pPr>
            <w:proofErr w:type="gramStart"/>
            <w:r w:rsidRPr="005472FB">
              <w:rPr>
                <w:b/>
                <w:bCs/>
              </w:rPr>
              <w:t>•        KATEGORIE</w:t>
            </w:r>
            <w:proofErr w:type="gramEnd"/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>Občan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 xml:space="preserve">·             </w:t>
            </w:r>
            <w:r w:rsidRPr="005472FB">
              <w:rPr>
                <w:b/>
                <w:bCs/>
              </w:rPr>
              <w:t>PODKATEGORIE</w:t>
            </w:r>
            <w:r w:rsidRPr="005472FB">
              <w:t xml:space="preserve"> 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>Bydlení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 xml:space="preserve">·              </w:t>
            </w:r>
            <w:r w:rsidRPr="005472FB">
              <w:rPr>
                <w:b/>
                <w:bCs/>
              </w:rPr>
              <w:t>ZAŘAZENÍ</w:t>
            </w:r>
            <w:r w:rsidRPr="005472FB">
              <w:t xml:space="preserve"> 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>Katastr nemovitostí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 xml:space="preserve">·             </w:t>
            </w:r>
            <w:r w:rsidRPr="005472FB">
              <w:rPr>
                <w:b/>
                <w:bCs/>
              </w:rPr>
              <w:t xml:space="preserve">POJMENOVÁNÍ (NÁZEV) ŽIVOTNÍ SITUACE 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 xml:space="preserve">Návrh na zahájení řízení o povolení vkladu do katastru nemovitostí (dále též "návrh na vklad") </w:t>
            </w:r>
          </w:p>
        </w:tc>
      </w:tr>
      <w:tr w:rsidR="005472FB" w:rsidRPr="005472FB" w:rsidTr="005472FB">
        <w:trPr>
          <w:trHeight w:val="27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 xml:space="preserve">·             </w:t>
            </w:r>
            <w:r w:rsidRPr="005472FB">
              <w:rPr>
                <w:b/>
                <w:bCs/>
              </w:rPr>
              <w:t xml:space="preserve">POJMENOVÁNÍ (NÁZEV) ŽIVOTNÍ SITUACE 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 xml:space="preserve">Návrh na vklad je písemná žádost o to, aby katastrální úřad provedl zápis vzniku, změny, zániku, promlčení a uznání existence nebo neexistence těchto práv: vlastnické právo, právo stavby, věcné břemeno, zástavní právo, budoucí zástavní právo, </w:t>
            </w:r>
            <w:proofErr w:type="spellStart"/>
            <w:r w:rsidRPr="005472FB">
              <w:t>podzástavní</w:t>
            </w:r>
            <w:proofErr w:type="spellEnd"/>
            <w:r w:rsidRPr="005472FB">
              <w:t xml:space="preserve"> právo, předkupní právo, budoucí výměnek, přídatné spoluvlastnictví, správa </w:t>
            </w:r>
            <w:proofErr w:type="spellStart"/>
            <w:r w:rsidRPr="005472FB">
              <w:t>svěřenského</w:t>
            </w:r>
            <w:proofErr w:type="spellEnd"/>
            <w:r w:rsidRPr="005472FB">
              <w:t xml:space="preserve"> fondu, výhrada vlastnického práva, výhrada práva zpětné koupě, výhrada práva zpětného prodeje, zákaz zcizení nebo zatížení, výhrada práva lepšího kupce, ujednání o koupi na zkoušku, nájem, požádá-li o to vlastník nebo nájemce se souhlasem vlastníka, pacht, požádá-li o to vlastník nebo pachtýř se souhlasem vlastníka, vzdání se práva na náhradu škody na pozemku, rozdělení práva k nemovitosti na vlastnické právo k jednotkám.</w:t>
            </w:r>
          </w:p>
        </w:tc>
      </w:tr>
      <w:tr w:rsidR="005472FB" w:rsidRPr="005472FB" w:rsidTr="005472FB">
        <w:trPr>
          <w:trHeight w:val="36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>·            Základní informace k životní situaci</w:t>
            </w:r>
          </w:p>
        </w:tc>
        <w:tc>
          <w:tcPr>
            <w:tcW w:w="9000" w:type="dxa"/>
            <w:hideMark/>
          </w:tcPr>
          <w:p w:rsidR="005472FB" w:rsidRPr="005472FB" w:rsidRDefault="005472FB" w:rsidP="005472FB">
            <w:pPr>
              <w:spacing w:after="160"/>
            </w:pPr>
            <w:r w:rsidRPr="005472FB">
              <w:t>Návrh na vklad je písemná žádost o to, aby katastrální úřad provedl zápis vzniku, změny, zániku, promlčení a uznání existence nebo neexistence těchto práv:</w:t>
            </w:r>
            <w:r w:rsidRPr="005472FB">
              <w:br/>
            </w:r>
            <w:r w:rsidRPr="005472FB">
              <w:br/>
              <w:t xml:space="preserve">vlastnické právo, právo stavby, věcné břemeno, zástavní právo, budoucí zástavní právo, </w:t>
            </w:r>
            <w:proofErr w:type="spellStart"/>
            <w:r w:rsidRPr="005472FB">
              <w:t>podzástavní</w:t>
            </w:r>
            <w:proofErr w:type="spellEnd"/>
            <w:r w:rsidRPr="005472FB">
              <w:t xml:space="preserve"> právo, předkupní právo, budoucí výměnek, přídatné spoluvlastnictví, správa </w:t>
            </w:r>
            <w:proofErr w:type="spellStart"/>
            <w:r w:rsidRPr="005472FB">
              <w:t>svěřenského</w:t>
            </w:r>
            <w:proofErr w:type="spellEnd"/>
            <w:r w:rsidRPr="005472FB">
              <w:t xml:space="preserve"> fondu, výhrada vlastnického práva, výhrada práva zpětné koupě, výhrada práva zpětného prodeje, zákaz zcizení nebo zatížení, výhrada práva lepšího kupce, ujednání o koupi na zkoušku, nájem, požádá-li o to vlastník nebo nájemce se souhlasem vlastníka, pacht, požádá-li o to vlastník nebo pachtýř se souhlasem vlastníka, vzdání se práva na náhradu škody na pozemku, rozdělení práva k nemovitosti na vlastnické právo k jednotkám.</w:t>
            </w:r>
          </w:p>
        </w:tc>
      </w:tr>
      <w:tr w:rsidR="005472FB" w:rsidRPr="005472FB" w:rsidTr="005472FB">
        <w:trPr>
          <w:trHeight w:val="900"/>
        </w:trPr>
        <w:tc>
          <w:tcPr>
            <w:tcW w:w="10392" w:type="dxa"/>
            <w:noWrap/>
            <w:hideMark/>
          </w:tcPr>
          <w:p w:rsidR="005472FB" w:rsidRPr="005472FB" w:rsidRDefault="005472FB" w:rsidP="005472FB">
            <w:pPr>
              <w:spacing w:after="160"/>
            </w:pPr>
            <w:proofErr w:type="gramStart"/>
            <w:r w:rsidRPr="005472FB">
              <w:t>•         Kdo</w:t>
            </w:r>
            <w:proofErr w:type="gramEnd"/>
            <w:r w:rsidRPr="005472FB">
              <w:t xml:space="preserve"> je oprávněn v této věci jednat (podat žádost apod.)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Návrh na vklad může podat ten, jehož právo vzniká, mění se nebo rozšiřuje, a ten, jehož právo zaniká, mění se nebo omezuje (dále jen "účastník řízení"), a to kterýkoliv z účastníků řízení samostatně, příp. všichni účastníci řízení nebo někteří z nich společně.</w:t>
            </w:r>
          </w:p>
        </w:tc>
      </w:tr>
      <w:tr w:rsidR="005472FB" w:rsidRPr="005472FB" w:rsidTr="005472FB">
        <w:trPr>
          <w:trHeight w:val="18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Jaké</w:t>
            </w:r>
            <w:proofErr w:type="gramEnd"/>
            <w:r w:rsidRPr="005472FB">
              <w:t xml:space="preserve"> jsou podmínky a postup pro řešení životní situace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Splnění všech požadovaných náležitostí.</w:t>
            </w:r>
            <w:r w:rsidRPr="005472FB">
              <w:br/>
              <w:t>Doporučujeme, aby návrh na vklad podepsali všichni účastníci řízení, neboť to urychlí vyřízení věci.</w:t>
            </w:r>
            <w:r w:rsidRPr="005472FB">
              <w:br/>
              <w:t>Zároveň doporučujeme uvést kontaktní údaje (telefon a e-mail), které urychlí komunikaci s vámi zejména v případě, že návrh na vklad bude mít nedostatky, které bude třeba odstranit.</w:t>
            </w:r>
          </w:p>
        </w:tc>
      </w:tr>
      <w:tr w:rsidR="005472FB" w:rsidRPr="005472FB" w:rsidTr="005472FB">
        <w:trPr>
          <w:trHeight w:val="36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lastRenderedPageBreak/>
              <w:t>•         Jakým</w:t>
            </w:r>
            <w:proofErr w:type="gramEnd"/>
            <w:r w:rsidRPr="005472FB">
              <w:t xml:space="preserve"> způsobem můžete zahájit řešení životní situace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Podáním návrhu na vklad.</w:t>
            </w:r>
            <w:r w:rsidRPr="005472FB">
              <w:br/>
              <w:t xml:space="preserve">Návrh na vklad musí být podán na stanoveném formuláři. </w:t>
            </w:r>
            <w:r w:rsidRPr="005472FB">
              <w:br/>
              <w:t xml:space="preserve">K návrhu na vklad musí být přiložena listina, na jejímž základě má být zapsáno právo do katastru nemovitostí (dále jen „vkladová listina“), a to její originál nebo její úředně ověřený opis či autorizovaná konverze. K návrhu na vklad podanému bez vkladové listiny se nepřihlíží (tj. k návrhu na vklad se nepřihlíží, pokud k němu není přiložena žádná vkladová listina nebo je-li přiložena pouze prostá kopie či prostý </w:t>
            </w:r>
            <w:proofErr w:type="spellStart"/>
            <w:r w:rsidRPr="005472FB">
              <w:t>sken</w:t>
            </w:r>
            <w:proofErr w:type="spellEnd"/>
            <w:r w:rsidRPr="005472FB">
              <w:t xml:space="preserve"> takové listiny); o tom, že se k návrhu na vklad nepřihlíží, vyrozumí katastrální úřad navrhovatele.</w:t>
            </w:r>
            <w:r w:rsidRPr="005472FB">
              <w:br/>
              <w:t>Vkladové řízení je zahájeno dnem, kdy návrh na vklad došel věcně a místně příslušnému katastrálnímu úřadu (poštou, do datové schránky, na elektronickou adresu podatelny nebo osobním předáním podatelně).</w:t>
            </w:r>
          </w:p>
        </w:tc>
      </w:tr>
      <w:tr w:rsidR="005472FB" w:rsidRPr="005472FB" w:rsidTr="005472FB">
        <w:trPr>
          <w:trHeight w:val="6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Na</w:t>
            </w:r>
            <w:proofErr w:type="gramEnd"/>
            <w:r w:rsidRPr="005472FB">
              <w:t xml:space="preserve"> které instituci životní situaci řešit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Na katastrálním úřadu (jeho katastrálním pracovišti), místně příslušném podle místa, kde se nemovitost nachází.</w:t>
            </w:r>
          </w:p>
        </w:tc>
      </w:tr>
      <w:tr w:rsidR="005472FB" w:rsidRPr="005472FB" w:rsidTr="005472FB">
        <w:trPr>
          <w:trHeight w:val="57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>·             Kde, s kým a kdy životní situaci řešit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Návrh na vklad můžete:</w:t>
            </w:r>
            <w:r w:rsidRPr="005472FB">
              <w:br/>
              <w:t>• podat osobně na podatelně katastrálního úřadu v úředních hodinách,</w:t>
            </w:r>
            <w:r w:rsidRPr="005472FB">
              <w:br/>
              <w:t>• zaslat katastrálnímu úřadu poštou,</w:t>
            </w:r>
            <w:r w:rsidRPr="005472FB">
              <w:br/>
              <w:t>• zaslat elektronickými prostředky na elektronickou adresu podatelny příslušného katastrálního pracoviště (soubor ve formátu PDF podepsaný uznávaným elektronickým podpisem v příloze e-mailu) nebo prostřednictvím datové schránky příslušného katastrálního pracoviště.</w:t>
            </w:r>
            <w:r w:rsidRPr="005472FB">
              <w:br/>
            </w:r>
            <w:r w:rsidRPr="005472FB">
              <w:br/>
              <w:t>Rozpis úředních hodin podatelen je uveden na internetových stránkách jednotlivých katastrálních úřadů nebo na úředních deskách jednotlivých katastrálních úřadů.</w:t>
            </w:r>
            <w:r w:rsidRPr="005472FB">
              <w:br/>
            </w:r>
            <w:r w:rsidRPr="005472FB">
              <w:br/>
              <w:t>Návrh na vklad činěný prostřednictvím datové schránky není třeba opatřovat elektronickým podpisem, pokud je zaslán z datové schránky osoby, která návrh činí.</w:t>
            </w:r>
            <w:r w:rsidRPr="005472FB">
              <w:br/>
            </w:r>
            <w:r w:rsidRPr="005472FB">
              <w:br/>
              <w:t xml:space="preserve">Je-li návrh na vklad podáván v elektronické podobě, musí být vkladová listina </w:t>
            </w:r>
            <w:proofErr w:type="spellStart"/>
            <w:r w:rsidRPr="005472FB">
              <w:t>autorizovaně</w:t>
            </w:r>
            <w:proofErr w:type="spellEnd"/>
            <w:r w:rsidRPr="005472FB">
              <w:t xml:space="preserve"> zkonvertována z listinného originálu nebo originálně vytvořena v elektronické podobě, podepsána uznávaným elektronickým podpisem, resp. podpisy, a opatřena kvalifikovaným časovým razítkem.</w:t>
            </w:r>
          </w:p>
        </w:tc>
      </w:tr>
      <w:tr w:rsidR="005472FB" w:rsidRPr="005472FB" w:rsidTr="005472FB">
        <w:trPr>
          <w:trHeight w:val="24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lastRenderedPageBreak/>
              <w:t>·         Jaké doklady je nutné mít s sebou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S sebou je nutné mít:</w:t>
            </w:r>
            <w:r w:rsidRPr="005472FB">
              <w:br/>
              <w:t>• návrh na vklad podepsaný alespoň jedním z účastníků řízení,</w:t>
            </w:r>
            <w:r w:rsidRPr="005472FB">
              <w:br/>
              <w:t>• vkladovou listinu,</w:t>
            </w:r>
            <w:r w:rsidRPr="005472FB">
              <w:br/>
              <w:t>• plnou moc s úředně ověřeným podpisem zmocnitele, pokud je účastník vkladového řízení zastoupen zmocněncem,</w:t>
            </w:r>
            <w:r w:rsidRPr="005472FB">
              <w:br/>
              <w:t>• další listiny, pokud jejich potřeba vyplývá ze zvláštního zákona, například souhlas stavebního úřadu s dělením nebo scelováním pozemků.</w:t>
            </w:r>
          </w:p>
        </w:tc>
      </w:tr>
      <w:tr w:rsidR="005472FB" w:rsidRPr="005472FB" w:rsidTr="005472FB">
        <w:trPr>
          <w:trHeight w:val="42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Jaké</w:t>
            </w:r>
            <w:proofErr w:type="gramEnd"/>
            <w:r w:rsidRPr="005472FB">
              <w:t xml:space="preserve"> jsou potřebné formuláře a kde jsou k dispozici</w:t>
            </w:r>
          </w:p>
        </w:tc>
        <w:tc>
          <w:tcPr>
            <w:tcW w:w="9000" w:type="dxa"/>
            <w:hideMark/>
          </w:tcPr>
          <w:p w:rsidR="005472FB" w:rsidRPr="005472FB" w:rsidRDefault="005472FB" w:rsidP="005472FB">
            <w:pPr>
              <w:spacing w:after="160"/>
            </w:pPr>
            <w:r w:rsidRPr="005472FB">
              <w:t>Návrh na vklad do katastru nemovitostí musí být podán na stanoveném formuláři.</w:t>
            </w:r>
            <w:r w:rsidRPr="005472FB">
              <w:br/>
            </w:r>
            <w:r w:rsidRPr="005472FB">
              <w:br/>
              <w:t>Vzor formuláře je stanoven vyhláškou č. 359/2013 Sb., o stanovení vzoru formuláře pro podání návrhu na zahájení řízení o povolení vkladu.</w:t>
            </w:r>
            <w:r w:rsidRPr="005472FB">
              <w:br/>
            </w:r>
            <w:r w:rsidRPr="005472FB">
              <w:br/>
              <w:t>Nepoužití stanoveného formuláře je důvodem k zastavení řízení podle § 66 odst. 1 písm. b) zákona č. 500/2004 Sb., správní řád, ve znění pozdějších předpisů.</w:t>
            </w:r>
            <w:r w:rsidRPr="005472FB">
              <w:br/>
            </w:r>
            <w:r w:rsidRPr="005472FB">
              <w:br/>
              <w:t>Stanovený formulář naleznete na internetových stránkách Českého úřadu zeměměřického a katastrálního, k jeho vyplnění doporučujeme využít aplikaci Návrh na vklad práva do katastru nemovitostí, která vás provede jednotlivými kroky návrhu na vklad a v závěru vám vygeneruje hotový návrh na vklad k tisku.</w:t>
            </w:r>
          </w:p>
        </w:tc>
      </w:tr>
      <w:tr w:rsidR="005472FB" w:rsidRPr="005472FB" w:rsidTr="005472FB">
        <w:trPr>
          <w:trHeight w:val="6300"/>
        </w:trPr>
        <w:tc>
          <w:tcPr>
            <w:tcW w:w="10392" w:type="dxa"/>
            <w:noWrap/>
            <w:hideMark/>
          </w:tcPr>
          <w:p w:rsidR="005472FB" w:rsidRPr="005472FB" w:rsidRDefault="005472FB" w:rsidP="005472FB">
            <w:pPr>
              <w:spacing w:after="160"/>
            </w:pPr>
            <w:proofErr w:type="gramStart"/>
            <w:r w:rsidRPr="005472FB">
              <w:t>•         Jaké</w:t>
            </w:r>
            <w:proofErr w:type="gramEnd"/>
            <w:r w:rsidRPr="005472FB">
              <w:t xml:space="preserve"> jsou poplatky a jak je lze uhradit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Za podání každého návrhu na vklad se vybírá správní poplatek ve výši 2 000 Kč (podle pol. 120 přílohy k zákonu č. 634/2004 Sb., o správních poplatcích, ve znění pozdějších předpisů).</w:t>
            </w:r>
            <w:r w:rsidRPr="005472FB">
              <w:br/>
            </w:r>
            <w:r w:rsidRPr="005472FB">
              <w:br/>
              <w:t xml:space="preserve">Správní poplatek lze platit platební kartou nebo v hotovosti na příslušném katastrálním pracovišti nebo bezhotovostně na zvláštní účet státního rozpočtu zřízený u příslušného katastrálního úřadu. Při osobním podání návrhu na vklad získá klient v podatelně příslušné platební údaje přímo, při podání prostřednictvím poštovního přepravce nebo datové schránky mu budou zaslány platební údaje po zaevidování návrhu. Poplatek lze platit i kolkovými známkami, nepřevyšuje-li jeho výše 5 000 Kč. </w:t>
            </w:r>
            <w:r w:rsidRPr="005472FB">
              <w:br/>
            </w:r>
            <w:r w:rsidRPr="005472FB">
              <w:br/>
              <w:t>Za návrhy na vklad na základě listin, které souvisejí s výstavbou veřejně prospěšné stavby (smluv uzavřených za účelem realizace veřejně prospěšné stavby) pro zneškodňování odpadu, zásobování vodou, odvádění odpadních vod a jejich čištění, pro veřejnou dopravu, veřejné školství, veřejnou správu a obdobné veřejné účely, vybere katastrální úřad poplatek v úhrnu nejvýše 20 000 Kč.</w:t>
            </w:r>
            <w:r w:rsidRPr="005472FB">
              <w:br/>
            </w:r>
            <w:r w:rsidRPr="005472FB">
              <w:br/>
              <w:t xml:space="preserve">Žádáme osoby, které podávají návrhy na vklad a </w:t>
            </w:r>
            <w:r w:rsidRPr="005472FB">
              <w:lastRenderedPageBreak/>
              <w:t>vztahuje se na ně možnost hradit za související návrhy na vklad úhrnnou částku do 20 000 Kč, aby na tuto okolnost katastrální úřad při podání návrhu upozornily, a aby s návrhem doložily hodnověrným způsobem, že se na ně vztahuje uvedené zvýhodnění.</w:t>
            </w:r>
          </w:p>
        </w:tc>
      </w:tr>
      <w:tr w:rsidR="005472FB" w:rsidRPr="005472FB" w:rsidTr="005472FB">
        <w:trPr>
          <w:trHeight w:val="24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lastRenderedPageBreak/>
              <w:t>·         Jaké jsou lhůty pro vyřízení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Katastrální úřad musí o návrhu na vklad rozhodnout do 30 dnů, resp. 60 dnů (§ 71 zákona č. 500/2004 Sb., správní řád, ve znění pozdějších předpisů).</w:t>
            </w:r>
            <w:r w:rsidRPr="005472FB">
              <w:br/>
              <w:t>Jestliže jsou podmínky pro povolení vkladu splněny, katastrální úřad vklad povolí, nejdříve však po uplynutí lhůty 20 dnů po odeslání informace osobám, jejichž práva zapsaná v katastru se podle navrhovaného zápisu mají změnit nebo zaniknout.</w:t>
            </w:r>
            <w:r w:rsidRPr="005472FB">
              <w:br/>
              <w:t>Vklad na základě pravomocného rozhodnutí o povolení vkladu provede katastrální úřad bez zbytečného odkladu od povolení vkladu.</w:t>
            </w:r>
          </w:p>
        </w:tc>
      </w:tr>
      <w:tr w:rsidR="005472FB" w:rsidRPr="005472FB" w:rsidTr="005472FB">
        <w:trPr>
          <w:trHeight w:val="30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>·         Kteří jsou další účastníci (dotčení) řešení životní situace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Účastníky řízení jsou ti, jejichž právo vzniká, mění se nebo rozšiřuje, a ti, jejichž právo zaniká, mění se nebo omezuje.</w:t>
            </w:r>
            <w:r w:rsidRPr="005472FB">
              <w:br/>
            </w:r>
            <w:r w:rsidRPr="005472FB">
              <w:br/>
              <w:t>Za účastníka řízení může jednat na základě plné moci - tzv. "zmocněnec" nebo na základě právního předpisu - tzv. "zástupce účastníka řízení".</w:t>
            </w:r>
            <w:r w:rsidRPr="005472FB">
              <w:br/>
            </w:r>
            <w:r w:rsidRPr="005472FB">
              <w:br/>
              <w:t>Podpis zmocnitele na plné moci musí být úředně ověřen; pokud se provádí vklad na základě veřejné listiny a zmocněncem je osoba, která veřejnou listinu sepsala, podpis zmocnitele nemusí být úředně ověřen.</w:t>
            </w:r>
          </w:p>
        </w:tc>
      </w:tr>
      <w:tr w:rsidR="005472FB" w:rsidRPr="005472FB" w:rsidTr="005472FB">
        <w:trPr>
          <w:trHeight w:val="21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>·          Jaké další činnosti jsou po žadateli požadovány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V případě, kdy je vklad navrhován na základě soukromé listiny (tj. zejména různých smluv), je nezbytné, aby navrhovatel do 30 dnů od podání návrhu na vklad prokázal pravost podpisů na vkladové listině; to se nevztahuje na případy, kdy byly podpisy úředně ověřeny. Doporučujeme proto nechat na smlouvách podpisy vždy úředně ověřit.</w:t>
            </w:r>
            <w:r w:rsidRPr="005472FB">
              <w:br/>
              <w:t xml:space="preserve">Výjimkou je podpis zástavního věřitele na zástavní </w:t>
            </w:r>
            <w:r w:rsidRPr="005472FB">
              <w:lastRenderedPageBreak/>
              <w:t>smlouvě, pravost tohoto podpisu není třeba prokazovat.</w:t>
            </w:r>
          </w:p>
        </w:tc>
      </w:tr>
      <w:tr w:rsidR="005472FB" w:rsidRPr="005472FB" w:rsidTr="005472FB">
        <w:trPr>
          <w:trHeight w:val="9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lastRenderedPageBreak/>
              <w:t>·          Elektronická služba, kterou lze využít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Návrh na vklad lze učinit v elektronické podobě na adresu elektronické podatelny nebo prostřednictvím datové schránky. K podrobnostem viz bod „Kde, s kým a kdy životní situaci řešit“.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r w:rsidRPr="005472FB">
              <w:t>·         Podle kterého právního předpisu se postupuje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Zákon č. 256/2013 Sb., o katastru nemovitostí (katastrální zákon), ve znění pozdějších předpisů</w:t>
            </w:r>
          </w:p>
        </w:tc>
      </w:tr>
      <w:tr w:rsidR="005472FB" w:rsidRPr="005472FB" w:rsidTr="005472FB">
        <w:trPr>
          <w:trHeight w:val="30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Jaké</w:t>
            </w:r>
            <w:proofErr w:type="gramEnd"/>
            <w:r w:rsidRPr="005472FB">
              <w:t xml:space="preserve"> jsou související právní předpisy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Vyhláška č. 357/2013 Sb., o katastru nemovitostí (katastrální vyhláška), ve znění pozdějších předpisů</w:t>
            </w:r>
            <w:r w:rsidRPr="005472FB">
              <w:br/>
            </w:r>
            <w:r w:rsidRPr="005472FB">
              <w:br/>
              <w:t>Vyhláška č. 359/2013 Sb., o stanovení vzoru formuláře pro podání návrhu na zahájení řízení o povolení vkladu</w:t>
            </w:r>
            <w:r w:rsidRPr="005472FB">
              <w:br/>
            </w:r>
            <w:r w:rsidRPr="005472FB">
              <w:br/>
              <w:t>Zákon č. 500/2004 Sb., správní řád, ve znění pozdějších předpisů</w:t>
            </w:r>
            <w:r w:rsidRPr="005472FB">
              <w:br/>
            </w:r>
            <w:r w:rsidRPr="005472FB">
              <w:br/>
              <w:t>Zákon č. 634/2004 Sb., o správních poplatcích, ve znění pozdějších předpisů</w:t>
            </w:r>
          </w:p>
        </w:tc>
      </w:tr>
      <w:tr w:rsidR="005472FB" w:rsidRPr="005472FB" w:rsidTr="005472FB">
        <w:trPr>
          <w:trHeight w:val="27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Jaké</w:t>
            </w:r>
            <w:proofErr w:type="gramEnd"/>
            <w:r w:rsidRPr="005472FB">
              <w:t xml:space="preserve"> jsou opravné prostředky a jak se uplatňují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 xml:space="preserve">Proti rozhodnutí, kterým se vklad povoluje, není přípustný žádný opravný prostředek, přezkumné řízení, obnova řízení ani žaloba podle ustanovení občanského soudního řádu o řízení ve věcech, o nichž </w:t>
            </w:r>
            <w:proofErr w:type="gramStart"/>
            <w:r w:rsidRPr="005472FB">
              <w:t>bylo</w:t>
            </w:r>
            <w:proofErr w:type="gramEnd"/>
            <w:r w:rsidRPr="005472FB">
              <w:t xml:space="preserve"> rozhodnuto jiným orgánem.</w:t>
            </w:r>
            <w:r w:rsidRPr="005472FB">
              <w:br/>
            </w:r>
            <w:r w:rsidRPr="005472FB">
              <w:br/>
              <w:t xml:space="preserve">Proti rozhodnutí o zamítnutí vkladu </w:t>
            </w:r>
            <w:proofErr w:type="gramStart"/>
            <w:r w:rsidRPr="005472FB">
              <w:t>není</w:t>
            </w:r>
            <w:proofErr w:type="gramEnd"/>
            <w:r w:rsidRPr="005472FB">
              <w:t xml:space="preserve"> přípustný žádný opravný prostředek, přezkumné řízení ani obnova řízení; přípustná je žaloba podle ustanovení občanského soudního řádu o řízení ve věcech, o nichž bylo rozhodnuto jiným orgánem, která musí být podána ve lhůtě 30 dnů ode dne doručení rozhodnutí.</w:t>
            </w:r>
          </w:p>
        </w:tc>
      </w:tr>
      <w:tr w:rsidR="005472FB" w:rsidRPr="005472FB" w:rsidTr="005472FB">
        <w:trPr>
          <w:trHeight w:val="600"/>
        </w:trPr>
        <w:tc>
          <w:tcPr>
            <w:tcW w:w="10392" w:type="dxa"/>
            <w:hideMark/>
          </w:tcPr>
          <w:p w:rsidR="005472FB" w:rsidRPr="005472FB" w:rsidRDefault="005472FB">
            <w:proofErr w:type="gramStart"/>
            <w:r w:rsidRPr="005472FB">
              <w:t>•       Jaké</w:t>
            </w:r>
            <w:proofErr w:type="gramEnd"/>
            <w:r w:rsidRPr="005472FB">
              <w:t xml:space="preserve"> sankce mohou být uplatněny v případě nedodržení povinností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>Sankce nejsou stanoveny</w:t>
            </w:r>
          </w:p>
        </w:tc>
      </w:tr>
      <w:tr w:rsidR="005472FB" w:rsidRPr="005472FB" w:rsidTr="005472FB">
        <w:trPr>
          <w:trHeight w:val="24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Nejčastější</w:t>
            </w:r>
            <w:proofErr w:type="gramEnd"/>
            <w:r w:rsidRPr="005472FB">
              <w:t xml:space="preserve"> dotazy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r w:rsidRPr="005472FB">
              <w:t xml:space="preserve">Mohu někde zjistit, v jakém stavu se řízení zahájené na základě mého návrhu na vklad právě nachází? </w:t>
            </w:r>
            <w:r w:rsidRPr="005472FB">
              <w:br/>
            </w:r>
            <w:r w:rsidRPr="005472FB">
              <w:br/>
              <w:t>O každém návrhu na vklad jsou uveřejňovány vybrané informace v bezplatné aplikaci Nahlížení do katastru nemovitostí; v této aplikaci si tedy můžete (podle čísla jednacího) průběžně kontrolovat, v jakém stavu se řízení o vašem návrhu nachází.</w:t>
            </w:r>
            <w:r w:rsidRPr="005472FB">
              <w:br/>
              <w:t xml:space="preserve">https://nahlizenidokn.cuzk.cz/ </w:t>
            </w:r>
          </w:p>
        </w:tc>
      </w:tr>
      <w:tr w:rsidR="005472FB" w:rsidRPr="005472FB" w:rsidTr="005472FB">
        <w:trPr>
          <w:trHeight w:val="6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Další</w:t>
            </w:r>
            <w:proofErr w:type="gramEnd"/>
            <w:r w:rsidRPr="005472FB">
              <w:t xml:space="preserve"> informace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pPr>
              <w:rPr>
                <w:u w:val="single"/>
              </w:rPr>
            </w:pPr>
            <w:hyperlink r:id="rId4" w:history="1">
              <w:r w:rsidRPr="005472FB">
                <w:rPr>
                  <w:rStyle w:val="Hypertextovodkaz"/>
                </w:rPr>
                <w:t xml:space="preserve"> Více informací k návrhu na vklad naleznete na internetových stránkách Českého úřadu zeměměřického a katastrálního. www.cuzk.cz</w:t>
              </w:r>
            </w:hyperlink>
          </w:p>
        </w:tc>
      </w:tr>
      <w:tr w:rsidR="005472FB" w:rsidRPr="005472FB" w:rsidTr="005472FB">
        <w:trPr>
          <w:trHeight w:val="72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Informace</w:t>
            </w:r>
            <w:proofErr w:type="gramEnd"/>
            <w:r w:rsidRPr="005472FB">
              <w:t xml:space="preserve"> o popisovaném postupu (o řešení životní situace) je možné získat také z jiných zdrojů a v jiné formě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pPr>
              <w:rPr>
                <w:u w:val="single"/>
              </w:rPr>
            </w:pPr>
            <w:hyperlink r:id="rId5" w:history="1">
              <w:r w:rsidRPr="005472FB">
                <w:rPr>
                  <w:rStyle w:val="Hypertextovodkaz"/>
                </w:rPr>
                <w:t xml:space="preserve">https://www.cuzk.cz/Katastr-nemovitosti/Zapisy-doKN.aspx </w:t>
              </w:r>
            </w:hyperlink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lastRenderedPageBreak/>
              <w:t>•         Související</w:t>
            </w:r>
            <w:proofErr w:type="gramEnd"/>
            <w:r w:rsidRPr="005472FB">
              <w:t xml:space="preserve"> životní situace a návody, jak je řešit</w:t>
            </w:r>
          </w:p>
        </w:tc>
        <w:tc>
          <w:tcPr>
            <w:tcW w:w="9000" w:type="dxa"/>
            <w:hideMark/>
          </w:tcPr>
          <w:p w:rsidR="005472FB" w:rsidRPr="005472FB" w:rsidRDefault="005472FB">
            <w:pPr>
              <w:rPr>
                <w:u w:val="single"/>
              </w:rPr>
            </w:pPr>
            <w:hyperlink r:id="rId6" w:history="1">
              <w:r w:rsidRPr="005472FB">
                <w:rPr>
                  <w:rStyle w:val="Hypertextovodkaz"/>
                </w:rPr>
                <w:t xml:space="preserve">https://www.cuzk.cz/Je-dobre-vedet/Zivotni-situace/Zivotni-situace.aspx </w:t>
              </w:r>
            </w:hyperlink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Za</w:t>
            </w:r>
            <w:proofErr w:type="gramEnd"/>
            <w:r w:rsidRPr="005472FB">
              <w:t xml:space="preserve"> správnost návodu odpovídá útvar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>Český úřad zeměměřický a katastrální - kancelář předsedy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Kontaktní</w:t>
            </w:r>
            <w:proofErr w:type="gramEnd"/>
            <w:r w:rsidRPr="005472FB">
              <w:t xml:space="preserve"> osoba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>Mgr. Kateřina Štěpánková</w:t>
            </w:r>
          </w:p>
        </w:tc>
      </w:tr>
      <w:tr w:rsidR="005472FB" w:rsidRPr="005472FB" w:rsidTr="005472FB">
        <w:trPr>
          <w:trHeight w:val="300"/>
        </w:trPr>
        <w:tc>
          <w:tcPr>
            <w:tcW w:w="10392" w:type="dxa"/>
            <w:noWrap/>
            <w:hideMark/>
          </w:tcPr>
          <w:p w:rsidR="005472FB" w:rsidRPr="005472FB" w:rsidRDefault="005472FB">
            <w:proofErr w:type="gramStart"/>
            <w:r w:rsidRPr="005472FB">
              <w:t>•         Případná</w:t>
            </w:r>
            <w:proofErr w:type="gramEnd"/>
            <w:r w:rsidRPr="005472FB">
              <w:t xml:space="preserve"> upřesnění a poznámky k řešení životní situace</w:t>
            </w:r>
          </w:p>
        </w:tc>
        <w:tc>
          <w:tcPr>
            <w:tcW w:w="9000" w:type="dxa"/>
            <w:noWrap/>
            <w:hideMark/>
          </w:tcPr>
          <w:p w:rsidR="005472FB" w:rsidRPr="005472FB" w:rsidRDefault="005472FB">
            <w:r w:rsidRPr="005472FB">
              <w:t> </w:t>
            </w:r>
          </w:p>
        </w:tc>
      </w:tr>
    </w:tbl>
    <w:p w:rsidR="002E5503" w:rsidRDefault="002E5503">
      <w:bookmarkStart w:id="0" w:name="_GoBack"/>
      <w:bookmarkEnd w:id="0"/>
    </w:p>
    <w:sectPr w:rsidR="002E5503" w:rsidSect="00547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FB"/>
    <w:rsid w:val="002E5503"/>
    <w:rsid w:val="005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AC63C-90C8-44FA-A71F-41DF5C0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72FB"/>
    <w:rPr>
      <w:color w:val="0563C1"/>
      <w:u w:val="single"/>
    </w:rPr>
  </w:style>
  <w:style w:type="table" w:styleId="Mkatabulky">
    <w:name w:val="Table Grid"/>
    <w:basedOn w:val="Normlntabulka"/>
    <w:uiPriority w:val="39"/>
    <w:rsid w:val="0054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zk.cz/Je-dobre-vedet/Zivotni-situace/Zivotni-situace.aspx" TargetMode="External"/><Relationship Id="rId5" Type="http://schemas.openxmlformats.org/officeDocument/2006/relationships/hyperlink" Target="https://www.cuzk.cz/Katastr-nemovitosti/Zapisy-doKN.aspx" TargetMode="External"/><Relationship Id="rId4" Type="http://schemas.openxmlformats.org/officeDocument/2006/relationships/hyperlink" Target="http://www.cuz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1686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Eva</dc:creator>
  <cp:keywords/>
  <dc:description/>
  <cp:lastModifiedBy>Přibylová Eva</cp:lastModifiedBy>
  <cp:revision>1</cp:revision>
  <dcterms:created xsi:type="dcterms:W3CDTF">2020-09-17T07:09:00Z</dcterms:created>
  <dcterms:modified xsi:type="dcterms:W3CDTF">2020-09-17T07:10:00Z</dcterms:modified>
</cp:coreProperties>
</file>